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81" w:rsidRPr="00310481" w:rsidRDefault="00310481" w:rsidP="00310481">
      <w:pPr>
        <w:pStyle w:val="BodyText"/>
        <w:ind w:left="100"/>
        <w:rPr>
          <w:szCs w:val="36"/>
          <w:u w:val="single"/>
        </w:rPr>
      </w:pPr>
      <w:r w:rsidRPr="00310481">
        <w:rPr>
          <w:szCs w:val="36"/>
          <w:u w:val="single"/>
        </w:rPr>
        <w:t>Project Partners:</w:t>
      </w:r>
    </w:p>
    <w:p w:rsidR="00310481" w:rsidRPr="00310481" w:rsidRDefault="00310481" w:rsidP="00310481">
      <w:pPr>
        <w:pStyle w:val="BodyText"/>
        <w:ind w:left="100"/>
        <w:rPr>
          <w:szCs w:val="36"/>
          <w:u w:val="single"/>
        </w:rPr>
      </w:pPr>
      <w:r w:rsidRPr="00310481">
        <w:rPr>
          <w:szCs w:val="36"/>
        </w:rPr>
        <w:t>City of Bloomington Utilities (CBU):</w:t>
      </w:r>
    </w:p>
    <w:p w:rsidR="00310481" w:rsidRPr="00310481" w:rsidRDefault="00310481" w:rsidP="00310481">
      <w:pPr>
        <w:pStyle w:val="BodyText"/>
        <w:ind w:left="100"/>
        <w:rPr>
          <w:szCs w:val="36"/>
        </w:rPr>
      </w:pPr>
      <w:r w:rsidRPr="00310481">
        <w:rPr>
          <w:szCs w:val="36"/>
        </w:rPr>
        <w:t xml:space="preserve">CBU continues to maintain </w:t>
      </w:r>
      <w:proofErr w:type="spellStart"/>
      <w:r w:rsidRPr="00310481">
        <w:rPr>
          <w:szCs w:val="36"/>
        </w:rPr>
        <w:t>Griffy</w:t>
      </w:r>
      <w:proofErr w:type="spellEnd"/>
      <w:r w:rsidRPr="00310481">
        <w:rPr>
          <w:szCs w:val="36"/>
        </w:rPr>
        <w:t xml:space="preserve"> Lake as a back-up drinking water source and are responsible for dam upkeep. However, management of the surrounding property and lake restoration projects remain the responsibility of BPRD.</w:t>
      </w:r>
    </w:p>
    <w:p w:rsidR="00310481" w:rsidRPr="00310481" w:rsidRDefault="00310481" w:rsidP="00310481">
      <w:pPr>
        <w:pStyle w:val="BodyText"/>
        <w:ind w:left="100"/>
        <w:rPr>
          <w:szCs w:val="36"/>
        </w:rPr>
      </w:pPr>
    </w:p>
    <w:p w:rsidR="00310481" w:rsidRPr="00310481" w:rsidRDefault="00310481" w:rsidP="00310481">
      <w:pPr>
        <w:pStyle w:val="BodyText"/>
        <w:ind w:left="100"/>
        <w:rPr>
          <w:szCs w:val="36"/>
        </w:rPr>
      </w:pPr>
      <w:r w:rsidRPr="00310481">
        <w:rPr>
          <w:szCs w:val="36"/>
        </w:rPr>
        <w:t>Banneker Community Center (BCC) and Monroe County Community School Corporation (MCCSC):</w:t>
      </w:r>
    </w:p>
    <w:p w:rsidR="00310481" w:rsidRPr="00310481" w:rsidRDefault="00310481" w:rsidP="00310481">
      <w:pPr>
        <w:pStyle w:val="BodyText"/>
        <w:ind w:left="100"/>
        <w:rPr>
          <w:b/>
          <w:szCs w:val="36"/>
        </w:rPr>
      </w:pPr>
      <w:r w:rsidRPr="00310481">
        <w:rPr>
          <w:szCs w:val="36"/>
        </w:rPr>
        <w:t>MCCSC After-School Nature Club or a BCC Summer Nature Club.  Groups of 15-30 students ranging from 3</w:t>
      </w:r>
      <w:r w:rsidRPr="00310481">
        <w:rPr>
          <w:szCs w:val="36"/>
          <w:vertAlign w:val="superscript"/>
        </w:rPr>
        <w:t>rd</w:t>
      </w:r>
      <w:r w:rsidRPr="00310481">
        <w:rPr>
          <w:szCs w:val="36"/>
        </w:rPr>
        <w:t>-6</w:t>
      </w:r>
      <w:r w:rsidRPr="00310481">
        <w:rPr>
          <w:szCs w:val="36"/>
          <w:vertAlign w:val="superscript"/>
        </w:rPr>
        <w:t>th</w:t>
      </w:r>
      <w:r w:rsidRPr="00310481">
        <w:rPr>
          <w:szCs w:val="36"/>
        </w:rPr>
        <w:t xml:space="preserve"> graders regularly visit the lake.  A fish biology and habitat lesson that includes constructing and installing the Mossback products in </w:t>
      </w:r>
      <w:proofErr w:type="spellStart"/>
      <w:r w:rsidRPr="00310481">
        <w:rPr>
          <w:szCs w:val="36"/>
        </w:rPr>
        <w:t>Griffy</w:t>
      </w:r>
      <w:proofErr w:type="spellEnd"/>
      <w:r w:rsidRPr="00310481">
        <w:rPr>
          <w:szCs w:val="36"/>
        </w:rPr>
        <w:t xml:space="preserve"> Lake will be offered under the supervision of trained BPRD staff.</w:t>
      </w:r>
    </w:p>
    <w:p w:rsidR="00310481" w:rsidRPr="00310481" w:rsidRDefault="00310481" w:rsidP="00310481">
      <w:pPr>
        <w:pStyle w:val="BodyText"/>
        <w:ind w:left="100"/>
        <w:rPr>
          <w:b/>
          <w:szCs w:val="36"/>
        </w:rPr>
      </w:pPr>
    </w:p>
    <w:p w:rsidR="00310481" w:rsidRPr="00310481" w:rsidRDefault="00310481" w:rsidP="00310481">
      <w:pPr>
        <w:pStyle w:val="BodyText"/>
        <w:ind w:left="100"/>
        <w:rPr>
          <w:b/>
          <w:szCs w:val="36"/>
        </w:rPr>
      </w:pPr>
      <w:r w:rsidRPr="00310481">
        <w:rPr>
          <w:szCs w:val="36"/>
        </w:rPr>
        <w:t>IDNR Division of Fish &amp; Wildlife:</w:t>
      </w:r>
    </w:p>
    <w:p w:rsidR="00310481" w:rsidRPr="00310481" w:rsidRDefault="00310481" w:rsidP="00310481">
      <w:pPr>
        <w:pStyle w:val="BodyText"/>
        <w:ind w:left="100"/>
        <w:rPr>
          <w:b/>
          <w:szCs w:val="36"/>
        </w:rPr>
      </w:pPr>
      <w:r w:rsidRPr="00310481">
        <w:rPr>
          <w:szCs w:val="36"/>
        </w:rPr>
        <w:t xml:space="preserve">BPRD is an active participant in the Lake and River Enhancement (LARE) Program managed by IDNR Division of Fish &amp; Wildlife. BPRD applies annually apply for this program’s grants in order to manage invasive aquatic plant species, such as Eurasian watermilfoil. Staff at </w:t>
      </w:r>
      <w:proofErr w:type="spellStart"/>
      <w:r w:rsidRPr="00310481">
        <w:rPr>
          <w:szCs w:val="36"/>
        </w:rPr>
        <w:t>Cikana</w:t>
      </w:r>
      <w:proofErr w:type="spellEnd"/>
      <w:r w:rsidRPr="00310481">
        <w:rPr>
          <w:szCs w:val="36"/>
        </w:rPr>
        <w:t xml:space="preserve"> State Fish Hatchery evaluate and maintain the fish populations in the lake. </w:t>
      </w:r>
    </w:p>
    <w:p w:rsidR="00310481" w:rsidRPr="00310481" w:rsidRDefault="00310481" w:rsidP="00310481">
      <w:pPr>
        <w:pStyle w:val="BodyText"/>
        <w:ind w:left="100"/>
        <w:rPr>
          <w:b/>
          <w:szCs w:val="36"/>
        </w:rPr>
      </w:pPr>
    </w:p>
    <w:p w:rsidR="00310481" w:rsidRPr="00310481" w:rsidRDefault="00310481" w:rsidP="00310481">
      <w:pPr>
        <w:pStyle w:val="BodyText"/>
        <w:ind w:left="100"/>
        <w:rPr>
          <w:b/>
          <w:szCs w:val="36"/>
        </w:rPr>
      </w:pPr>
      <w:r w:rsidRPr="00310481">
        <w:rPr>
          <w:szCs w:val="36"/>
        </w:rPr>
        <w:t>Aquatic Control Inc.:</w:t>
      </w:r>
    </w:p>
    <w:p w:rsidR="00310481" w:rsidRPr="00310481" w:rsidRDefault="00310481" w:rsidP="00310481">
      <w:pPr>
        <w:pStyle w:val="BodyText"/>
        <w:ind w:left="100"/>
        <w:rPr>
          <w:b/>
          <w:szCs w:val="36"/>
        </w:rPr>
      </w:pPr>
      <w:r w:rsidRPr="00310481">
        <w:rPr>
          <w:szCs w:val="36"/>
        </w:rPr>
        <w:t xml:space="preserve">BPRD contracts with Aquatic Control Inc. to perform herbicide treatments and update the </w:t>
      </w:r>
      <w:proofErr w:type="spellStart"/>
      <w:r w:rsidRPr="00310481">
        <w:rPr>
          <w:szCs w:val="36"/>
        </w:rPr>
        <w:t>Griffy</w:t>
      </w:r>
      <w:proofErr w:type="spellEnd"/>
      <w:r w:rsidRPr="00310481">
        <w:rPr>
          <w:szCs w:val="36"/>
        </w:rPr>
        <w:t xml:space="preserve"> Lake Aquatic Vegetation Management Plan (AVMP) annually. The most recent vegetation survey, conducted in May 2022, showed an overall reduction in submerged plant growth in the 50 sample plots located in </w:t>
      </w:r>
      <w:proofErr w:type="spellStart"/>
      <w:r w:rsidRPr="00310481">
        <w:rPr>
          <w:szCs w:val="36"/>
        </w:rPr>
        <w:t>Griffy</w:t>
      </w:r>
      <w:proofErr w:type="spellEnd"/>
      <w:r w:rsidRPr="00310481">
        <w:rPr>
          <w:szCs w:val="36"/>
        </w:rPr>
        <w:t xml:space="preserve"> Lake. According to surveyors, this is likely attributed to the lake draw down that occurred in August 2021 until October 2021 to allow for pre-construction surveys and for laying the foundation for the new fishing pier and walkway. Aquatic Control has experience with installing Mossback products and has agreed to consult with BPRD staff on proper assembly and installation techniques. The most recent AVMP is included for your reference. </w:t>
      </w:r>
    </w:p>
    <w:p w:rsidR="00310481" w:rsidRPr="00310481" w:rsidRDefault="00310481" w:rsidP="00310481">
      <w:pPr>
        <w:pStyle w:val="BodyText"/>
        <w:spacing w:after="18"/>
        <w:ind w:left="100" w:right="4741"/>
        <w:rPr>
          <w:szCs w:val="36"/>
          <w:u w:val="single"/>
        </w:rPr>
      </w:pPr>
    </w:p>
    <w:p w:rsidR="00310481" w:rsidRPr="00310481" w:rsidRDefault="00310481" w:rsidP="00310481">
      <w:pPr>
        <w:pStyle w:val="BodyText"/>
        <w:spacing w:after="18"/>
        <w:ind w:left="100" w:right="4741"/>
        <w:rPr>
          <w:szCs w:val="36"/>
          <w:u w:val="single"/>
        </w:rPr>
      </w:pPr>
      <w:r w:rsidRPr="00310481">
        <w:rPr>
          <w:szCs w:val="36"/>
          <w:u w:val="single"/>
        </w:rPr>
        <w:t>Project Budget:</w:t>
      </w:r>
    </w:p>
    <w:tbl>
      <w:tblPr>
        <w:tblW w:w="935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2320"/>
        <w:gridCol w:w="2392"/>
        <w:gridCol w:w="2295"/>
      </w:tblGrid>
      <w:tr w:rsidR="00310481" w:rsidRPr="00310481" w:rsidTr="00310481">
        <w:trPr>
          <w:trHeight w:val="314"/>
        </w:trPr>
        <w:tc>
          <w:tcPr>
            <w:tcW w:w="2345" w:type="dxa"/>
          </w:tcPr>
          <w:p w:rsidR="00310481" w:rsidRPr="00310481" w:rsidRDefault="00310481" w:rsidP="00E60072">
            <w:pPr>
              <w:pStyle w:val="TableParagraph"/>
              <w:ind w:left="801" w:right="799"/>
              <w:jc w:val="center"/>
              <w:rPr>
                <w:sz w:val="24"/>
                <w:szCs w:val="24"/>
              </w:rPr>
            </w:pPr>
            <w:r w:rsidRPr="00310481">
              <w:rPr>
                <w:sz w:val="24"/>
                <w:szCs w:val="24"/>
              </w:rPr>
              <w:t>Partner</w:t>
            </w:r>
          </w:p>
        </w:tc>
        <w:tc>
          <w:tcPr>
            <w:tcW w:w="2320" w:type="dxa"/>
          </w:tcPr>
          <w:p w:rsidR="00310481" w:rsidRPr="00310481" w:rsidRDefault="00310481" w:rsidP="00310481">
            <w:pPr>
              <w:pStyle w:val="TableParagraph"/>
              <w:rPr>
                <w:sz w:val="24"/>
                <w:szCs w:val="24"/>
              </w:rPr>
            </w:pPr>
            <w:r w:rsidRPr="00310481">
              <w:rPr>
                <w:sz w:val="24"/>
                <w:szCs w:val="24"/>
              </w:rPr>
              <w:t>Cash Contributions</w:t>
            </w:r>
            <w:r>
              <w:rPr>
                <w:sz w:val="24"/>
                <w:szCs w:val="24"/>
              </w:rPr>
              <w:t xml:space="preserve"> </w:t>
            </w:r>
            <w:r w:rsidRPr="00310481">
              <w:rPr>
                <w:sz w:val="24"/>
                <w:szCs w:val="24"/>
              </w:rPr>
              <w:t>($)</w:t>
            </w:r>
          </w:p>
        </w:tc>
        <w:tc>
          <w:tcPr>
            <w:tcW w:w="2392" w:type="dxa"/>
          </w:tcPr>
          <w:p w:rsidR="00310481" w:rsidRPr="00310481" w:rsidRDefault="00310481" w:rsidP="00E60072">
            <w:pPr>
              <w:pStyle w:val="TableParagraph"/>
              <w:rPr>
                <w:sz w:val="24"/>
                <w:szCs w:val="24"/>
              </w:rPr>
            </w:pPr>
            <w:r w:rsidRPr="00310481">
              <w:rPr>
                <w:sz w:val="24"/>
                <w:szCs w:val="24"/>
              </w:rPr>
              <w:t>In-Kind Contribution</w:t>
            </w:r>
          </w:p>
        </w:tc>
        <w:tc>
          <w:tcPr>
            <w:tcW w:w="2295" w:type="dxa"/>
          </w:tcPr>
          <w:p w:rsidR="00310481" w:rsidRPr="00310481" w:rsidRDefault="00310481" w:rsidP="00E60072">
            <w:pPr>
              <w:pStyle w:val="TableParagraph"/>
              <w:rPr>
                <w:sz w:val="24"/>
                <w:szCs w:val="24"/>
              </w:rPr>
            </w:pPr>
            <w:r w:rsidRPr="00310481">
              <w:rPr>
                <w:sz w:val="24"/>
                <w:szCs w:val="24"/>
              </w:rPr>
              <w:t>In-Kind Value</w:t>
            </w:r>
          </w:p>
        </w:tc>
      </w:tr>
      <w:tr w:rsidR="00310481" w:rsidRPr="00310481" w:rsidTr="00310481">
        <w:trPr>
          <w:trHeight w:val="260"/>
        </w:trPr>
        <w:tc>
          <w:tcPr>
            <w:tcW w:w="2345" w:type="dxa"/>
          </w:tcPr>
          <w:p w:rsidR="00310481" w:rsidRPr="00310481" w:rsidRDefault="00310481" w:rsidP="00E60072">
            <w:pPr>
              <w:pStyle w:val="TableParagraph"/>
              <w:spacing w:line="256" w:lineRule="exact"/>
              <w:ind w:left="102"/>
              <w:rPr>
                <w:sz w:val="24"/>
                <w:szCs w:val="24"/>
              </w:rPr>
            </w:pPr>
            <w:r w:rsidRPr="00310481">
              <w:rPr>
                <w:sz w:val="24"/>
                <w:szCs w:val="24"/>
              </w:rPr>
              <w:t>Friends of Reservoirs</w:t>
            </w:r>
          </w:p>
        </w:tc>
        <w:tc>
          <w:tcPr>
            <w:tcW w:w="2320" w:type="dxa"/>
          </w:tcPr>
          <w:p w:rsidR="00310481" w:rsidRPr="00310481" w:rsidRDefault="00310481" w:rsidP="00E60072">
            <w:pPr>
              <w:pStyle w:val="TableParagraph"/>
              <w:spacing w:line="240" w:lineRule="auto"/>
              <w:ind w:left="0"/>
              <w:rPr>
                <w:sz w:val="24"/>
                <w:szCs w:val="24"/>
              </w:rPr>
            </w:pPr>
            <w:r w:rsidRPr="00310481">
              <w:rPr>
                <w:sz w:val="24"/>
                <w:szCs w:val="24"/>
              </w:rPr>
              <w:t xml:space="preserve"> $2,000</w:t>
            </w:r>
          </w:p>
        </w:tc>
        <w:tc>
          <w:tcPr>
            <w:tcW w:w="2392" w:type="dxa"/>
          </w:tcPr>
          <w:p w:rsidR="00310481" w:rsidRPr="00310481" w:rsidRDefault="00310481" w:rsidP="00E60072">
            <w:pPr>
              <w:pStyle w:val="TableParagraph"/>
              <w:spacing w:line="256" w:lineRule="exact"/>
              <w:rPr>
                <w:sz w:val="24"/>
                <w:szCs w:val="24"/>
              </w:rPr>
            </w:pPr>
          </w:p>
        </w:tc>
        <w:tc>
          <w:tcPr>
            <w:tcW w:w="2295" w:type="dxa"/>
          </w:tcPr>
          <w:p w:rsidR="00310481" w:rsidRPr="00310481" w:rsidRDefault="00310481" w:rsidP="00E60072">
            <w:pPr>
              <w:pStyle w:val="TableParagraph"/>
              <w:spacing w:line="240" w:lineRule="auto"/>
              <w:ind w:left="0"/>
              <w:rPr>
                <w:sz w:val="24"/>
                <w:szCs w:val="24"/>
              </w:rPr>
            </w:pPr>
          </w:p>
        </w:tc>
      </w:tr>
      <w:tr w:rsidR="00310481" w:rsidRPr="00310481" w:rsidTr="00310481">
        <w:trPr>
          <w:trHeight w:val="820"/>
        </w:trPr>
        <w:tc>
          <w:tcPr>
            <w:tcW w:w="2345" w:type="dxa"/>
          </w:tcPr>
          <w:p w:rsidR="00310481" w:rsidRPr="00310481" w:rsidRDefault="00310481" w:rsidP="00E60072">
            <w:pPr>
              <w:pStyle w:val="TableParagraph"/>
              <w:ind w:left="102"/>
              <w:rPr>
                <w:sz w:val="24"/>
                <w:szCs w:val="24"/>
              </w:rPr>
            </w:pPr>
            <w:r w:rsidRPr="00310481">
              <w:rPr>
                <w:sz w:val="24"/>
                <w:szCs w:val="24"/>
              </w:rPr>
              <w:t>City of Bloomington Parks and Recreation</w:t>
            </w:r>
          </w:p>
        </w:tc>
        <w:tc>
          <w:tcPr>
            <w:tcW w:w="2320" w:type="dxa"/>
          </w:tcPr>
          <w:p w:rsidR="00310481" w:rsidRPr="00310481" w:rsidRDefault="00310481" w:rsidP="00E60072">
            <w:pPr>
              <w:pStyle w:val="TableParagraph"/>
              <w:spacing w:line="240" w:lineRule="auto"/>
              <w:ind w:right="219"/>
              <w:rPr>
                <w:sz w:val="24"/>
                <w:szCs w:val="24"/>
              </w:rPr>
            </w:pPr>
            <w:r w:rsidRPr="00310481">
              <w:rPr>
                <w:sz w:val="24"/>
                <w:szCs w:val="24"/>
              </w:rPr>
              <w:t>Concrete blocks</w:t>
            </w:r>
          </w:p>
          <w:p w:rsidR="00310481" w:rsidRPr="00310481" w:rsidRDefault="00310481" w:rsidP="00E60072">
            <w:pPr>
              <w:pStyle w:val="TableParagraph"/>
              <w:spacing w:line="240" w:lineRule="auto"/>
              <w:ind w:right="219"/>
              <w:rPr>
                <w:sz w:val="24"/>
                <w:szCs w:val="24"/>
              </w:rPr>
            </w:pPr>
            <w:r w:rsidRPr="00310481">
              <w:rPr>
                <w:sz w:val="24"/>
                <w:szCs w:val="24"/>
              </w:rPr>
              <w:t>($650)</w:t>
            </w:r>
          </w:p>
        </w:tc>
        <w:tc>
          <w:tcPr>
            <w:tcW w:w="2392" w:type="dxa"/>
          </w:tcPr>
          <w:p w:rsidR="00310481" w:rsidRPr="00310481" w:rsidRDefault="00310481" w:rsidP="00E60072">
            <w:pPr>
              <w:pStyle w:val="TableParagraph"/>
              <w:spacing w:line="270" w:lineRule="atLeast"/>
              <w:rPr>
                <w:sz w:val="24"/>
                <w:szCs w:val="24"/>
              </w:rPr>
            </w:pPr>
            <w:r w:rsidRPr="00310481">
              <w:rPr>
                <w:sz w:val="24"/>
                <w:szCs w:val="24"/>
              </w:rPr>
              <w:t xml:space="preserve">Boats Rentals </w:t>
            </w:r>
          </w:p>
          <w:p w:rsidR="00310481" w:rsidRPr="00310481" w:rsidRDefault="00310481" w:rsidP="00E60072">
            <w:pPr>
              <w:pStyle w:val="TableParagraph"/>
              <w:spacing w:line="270" w:lineRule="atLeast"/>
              <w:rPr>
                <w:sz w:val="24"/>
                <w:szCs w:val="24"/>
              </w:rPr>
            </w:pPr>
            <w:r w:rsidRPr="00310481">
              <w:rPr>
                <w:sz w:val="24"/>
                <w:szCs w:val="24"/>
              </w:rPr>
              <w:t>(8 canoes)</w:t>
            </w:r>
          </w:p>
        </w:tc>
        <w:tc>
          <w:tcPr>
            <w:tcW w:w="2295" w:type="dxa"/>
          </w:tcPr>
          <w:p w:rsidR="00310481" w:rsidRPr="00310481" w:rsidRDefault="00310481" w:rsidP="00E60072">
            <w:pPr>
              <w:pStyle w:val="TableParagraph"/>
              <w:rPr>
                <w:sz w:val="24"/>
                <w:szCs w:val="24"/>
              </w:rPr>
            </w:pPr>
            <w:r w:rsidRPr="00310481">
              <w:rPr>
                <w:sz w:val="24"/>
                <w:szCs w:val="24"/>
              </w:rPr>
              <w:t>$500</w:t>
            </w:r>
          </w:p>
        </w:tc>
      </w:tr>
      <w:tr w:rsidR="00310481" w:rsidRPr="00310481" w:rsidTr="00310481">
        <w:trPr>
          <w:trHeight w:val="820"/>
        </w:trPr>
        <w:tc>
          <w:tcPr>
            <w:tcW w:w="2345" w:type="dxa"/>
          </w:tcPr>
          <w:p w:rsidR="00310481" w:rsidRPr="00310481" w:rsidRDefault="00310481" w:rsidP="00E60072">
            <w:pPr>
              <w:pStyle w:val="TableParagraph"/>
              <w:ind w:left="102"/>
              <w:rPr>
                <w:sz w:val="24"/>
                <w:szCs w:val="24"/>
              </w:rPr>
            </w:pPr>
            <w:r w:rsidRPr="00310481">
              <w:rPr>
                <w:sz w:val="24"/>
                <w:szCs w:val="24"/>
              </w:rPr>
              <w:t>City of Bloomington Parks and Recreation</w:t>
            </w:r>
          </w:p>
        </w:tc>
        <w:tc>
          <w:tcPr>
            <w:tcW w:w="2320" w:type="dxa"/>
          </w:tcPr>
          <w:p w:rsidR="00310481" w:rsidRPr="00310481" w:rsidRDefault="00310481" w:rsidP="00E60072">
            <w:pPr>
              <w:pStyle w:val="TableParagraph"/>
              <w:spacing w:line="240" w:lineRule="auto"/>
              <w:ind w:right="785"/>
              <w:rPr>
                <w:sz w:val="24"/>
                <w:szCs w:val="24"/>
              </w:rPr>
            </w:pPr>
            <w:r w:rsidRPr="00310481">
              <w:rPr>
                <w:sz w:val="24"/>
                <w:szCs w:val="24"/>
              </w:rPr>
              <w:t>Shipping Costs ($100)</w:t>
            </w:r>
          </w:p>
        </w:tc>
        <w:tc>
          <w:tcPr>
            <w:tcW w:w="2392" w:type="dxa"/>
          </w:tcPr>
          <w:p w:rsidR="00310481" w:rsidRPr="00310481" w:rsidRDefault="00310481" w:rsidP="00E60072">
            <w:pPr>
              <w:pStyle w:val="TableParagraph"/>
              <w:rPr>
                <w:sz w:val="24"/>
                <w:szCs w:val="24"/>
              </w:rPr>
            </w:pPr>
            <w:r w:rsidRPr="00310481">
              <w:rPr>
                <w:sz w:val="24"/>
                <w:szCs w:val="24"/>
              </w:rPr>
              <w:t>Labor for 3</w:t>
            </w:r>
          </w:p>
          <w:p w:rsidR="00310481" w:rsidRPr="00310481" w:rsidRDefault="00310481" w:rsidP="00E60072">
            <w:pPr>
              <w:pStyle w:val="TableParagraph"/>
              <w:spacing w:line="270" w:lineRule="atLeast"/>
              <w:ind w:right="227"/>
              <w:rPr>
                <w:sz w:val="24"/>
                <w:szCs w:val="24"/>
              </w:rPr>
            </w:pPr>
            <w:r w:rsidRPr="00310481">
              <w:rPr>
                <w:sz w:val="24"/>
                <w:szCs w:val="24"/>
              </w:rPr>
              <w:t xml:space="preserve">BPRD staff </w:t>
            </w:r>
          </w:p>
          <w:p w:rsidR="00310481" w:rsidRPr="00310481" w:rsidRDefault="00310481" w:rsidP="00E60072">
            <w:pPr>
              <w:pStyle w:val="TableParagraph"/>
              <w:spacing w:line="270" w:lineRule="atLeast"/>
              <w:ind w:right="227"/>
              <w:rPr>
                <w:sz w:val="24"/>
                <w:szCs w:val="24"/>
              </w:rPr>
            </w:pPr>
            <w:r w:rsidRPr="00310481">
              <w:rPr>
                <w:sz w:val="24"/>
                <w:szCs w:val="24"/>
              </w:rPr>
              <w:t>(80 man hours)</w:t>
            </w:r>
          </w:p>
        </w:tc>
        <w:tc>
          <w:tcPr>
            <w:tcW w:w="2295" w:type="dxa"/>
          </w:tcPr>
          <w:p w:rsidR="00310481" w:rsidRPr="00310481" w:rsidRDefault="00310481" w:rsidP="00E60072">
            <w:pPr>
              <w:pStyle w:val="TableParagraph"/>
              <w:rPr>
                <w:sz w:val="24"/>
                <w:szCs w:val="24"/>
              </w:rPr>
            </w:pPr>
          </w:p>
          <w:p w:rsidR="00310481" w:rsidRPr="00310481" w:rsidRDefault="00310481" w:rsidP="00E60072">
            <w:pPr>
              <w:pStyle w:val="TableParagraph"/>
              <w:rPr>
                <w:sz w:val="24"/>
                <w:szCs w:val="24"/>
              </w:rPr>
            </w:pPr>
            <w:r w:rsidRPr="00310481">
              <w:rPr>
                <w:sz w:val="24"/>
                <w:szCs w:val="24"/>
              </w:rPr>
              <w:t>$4000</w:t>
            </w:r>
          </w:p>
        </w:tc>
      </w:tr>
      <w:tr w:rsidR="00310481" w:rsidRPr="00310481" w:rsidTr="00310481">
        <w:trPr>
          <w:trHeight w:val="820"/>
        </w:trPr>
        <w:tc>
          <w:tcPr>
            <w:tcW w:w="2345" w:type="dxa"/>
          </w:tcPr>
          <w:p w:rsidR="00310481" w:rsidRPr="00310481" w:rsidRDefault="00310481" w:rsidP="00E60072">
            <w:pPr>
              <w:pStyle w:val="TableParagraph"/>
              <w:ind w:left="102"/>
              <w:rPr>
                <w:sz w:val="24"/>
                <w:szCs w:val="24"/>
              </w:rPr>
            </w:pPr>
            <w:r w:rsidRPr="00310481">
              <w:rPr>
                <w:sz w:val="24"/>
                <w:szCs w:val="24"/>
              </w:rPr>
              <w:t>BBC or MCCSC</w:t>
            </w:r>
          </w:p>
        </w:tc>
        <w:tc>
          <w:tcPr>
            <w:tcW w:w="2320" w:type="dxa"/>
          </w:tcPr>
          <w:p w:rsidR="00310481" w:rsidRPr="00310481" w:rsidRDefault="00310481" w:rsidP="00E60072">
            <w:pPr>
              <w:pStyle w:val="TableParagraph"/>
              <w:spacing w:line="240" w:lineRule="auto"/>
              <w:ind w:right="785"/>
              <w:rPr>
                <w:sz w:val="24"/>
                <w:szCs w:val="24"/>
              </w:rPr>
            </w:pPr>
          </w:p>
        </w:tc>
        <w:tc>
          <w:tcPr>
            <w:tcW w:w="2392" w:type="dxa"/>
          </w:tcPr>
          <w:p w:rsidR="00310481" w:rsidRPr="00310481" w:rsidRDefault="00310481" w:rsidP="00E60072">
            <w:pPr>
              <w:pStyle w:val="TableParagraph"/>
              <w:spacing w:line="270" w:lineRule="atLeast"/>
              <w:ind w:right="227"/>
              <w:rPr>
                <w:sz w:val="24"/>
                <w:szCs w:val="24"/>
              </w:rPr>
            </w:pPr>
            <w:r w:rsidRPr="00310481">
              <w:rPr>
                <w:sz w:val="24"/>
                <w:szCs w:val="24"/>
              </w:rPr>
              <w:t>Labor for 15</w:t>
            </w:r>
          </w:p>
          <w:p w:rsidR="00310481" w:rsidRPr="00310481" w:rsidRDefault="00310481" w:rsidP="00E60072">
            <w:pPr>
              <w:pStyle w:val="TableParagraph"/>
              <w:spacing w:line="270" w:lineRule="atLeast"/>
              <w:ind w:right="227"/>
              <w:rPr>
                <w:sz w:val="24"/>
                <w:szCs w:val="24"/>
              </w:rPr>
            </w:pPr>
            <w:r w:rsidRPr="00310481">
              <w:rPr>
                <w:sz w:val="24"/>
                <w:szCs w:val="24"/>
              </w:rPr>
              <w:t xml:space="preserve">volunteers </w:t>
            </w:r>
          </w:p>
          <w:p w:rsidR="00310481" w:rsidRPr="00310481" w:rsidRDefault="00310481" w:rsidP="00E60072">
            <w:pPr>
              <w:pStyle w:val="TableParagraph"/>
              <w:spacing w:line="270" w:lineRule="atLeast"/>
              <w:ind w:right="227"/>
              <w:rPr>
                <w:sz w:val="24"/>
                <w:szCs w:val="24"/>
              </w:rPr>
            </w:pPr>
            <w:r w:rsidRPr="00310481">
              <w:rPr>
                <w:sz w:val="24"/>
                <w:szCs w:val="24"/>
              </w:rPr>
              <w:t>(age 16 and under)</w:t>
            </w:r>
          </w:p>
        </w:tc>
        <w:tc>
          <w:tcPr>
            <w:tcW w:w="2295" w:type="dxa"/>
          </w:tcPr>
          <w:p w:rsidR="00310481" w:rsidRPr="00310481" w:rsidRDefault="00310481" w:rsidP="00E60072">
            <w:pPr>
              <w:pStyle w:val="TableParagraph"/>
              <w:rPr>
                <w:sz w:val="24"/>
                <w:szCs w:val="24"/>
              </w:rPr>
            </w:pPr>
          </w:p>
          <w:p w:rsidR="00310481" w:rsidRPr="00310481" w:rsidRDefault="00310481" w:rsidP="00E60072">
            <w:pPr>
              <w:pStyle w:val="TableParagraph"/>
              <w:rPr>
                <w:sz w:val="24"/>
                <w:szCs w:val="24"/>
              </w:rPr>
            </w:pPr>
            <w:r w:rsidRPr="00310481">
              <w:rPr>
                <w:sz w:val="24"/>
                <w:szCs w:val="24"/>
              </w:rPr>
              <w:t>$450</w:t>
            </w:r>
          </w:p>
        </w:tc>
      </w:tr>
      <w:tr w:rsidR="00310481" w:rsidRPr="00310481" w:rsidTr="00310481">
        <w:trPr>
          <w:trHeight w:val="540"/>
        </w:trPr>
        <w:tc>
          <w:tcPr>
            <w:tcW w:w="2345" w:type="dxa"/>
          </w:tcPr>
          <w:p w:rsidR="00310481" w:rsidRPr="00310481" w:rsidRDefault="00310481" w:rsidP="00E60072">
            <w:pPr>
              <w:pStyle w:val="TableParagraph"/>
              <w:spacing w:line="270" w:lineRule="exact"/>
              <w:ind w:left="102"/>
              <w:rPr>
                <w:sz w:val="24"/>
                <w:szCs w:val="24"/>
              </w:rPr>
            </w:pPr>
            <w:r w:rsidRPr="00310481">
              <w:rPr>
                <w:sz w:val="24"/>
                <w:szCs w:val="24"/>
              </w:rPr>
              <w:t xml:space="preserve">Aquatic Control </w:t>
            </w:r>
          </w:p>
        </w:tc>
        <w:tc>
          <w:tcPr>
            <w:tcW w:w="2320" w:type="dxa"/>
          </w:tcPr>
          <w:p w:rsidR="00310481" w:rsidRPr="00310481" w:rsidRDefault="00310481" w:rsidP="00E60072">
            <w:pPr>
              <w:pStyle w:val="TableParagraph"/>
              <w:spacing w:line="261" w:lineRule="exact"/>
              <w:rPr>
                <w:sz w:val="24"/>
                <w:szCs w:val="24"/>
              </w:rPr>
            </w:pPr>
          </w:p>
        </w:tc>
        <w:tc>
          <w:tcPr>
            <w:tcW w:w="2392" w:type="dxa"/>
          </w:tcPr>
          <w:p w:rsidR="00310481" w:rsidRPr="00310481" w:rsidRDefault="00310481" w:rsidP="00E60072">
            <w:pPr>
              <w:pStyle w:val="TableParagraph"/>
              <w:spacing w:line="270" w:lineRule="exact"/>
              <w:rPr>
                <w:sz w:val="24"/>
                <w:szCs w:val="24"/>
              </w:rPr>
            </w:pPr>
            <w:r w:rsidRPr="00310481">
              <w:rPr>
                <w:sz w:val="24"/>
                <w:szCs w:val="24"/>
              </w:rPr>
              <w:t>Labor for 2 FT staff</w:t>
            </w:r>
          </w:p>
          <w:p w:rsidR="00310481" w:rsidRPr="00310481" w:rsidRDefault="00310481" w:rsidP="00E60072">
            <w:pPr>
              <w:pStyle w:val="TableParagraph"/>
              <w:spacing w:line="270" w:lineRule="exact"/>
              <w:rPr>
                <w:sz w:val="24"/>
                <w:szCs w:val="24"/>
              </w:rPr>
            </w:pPr>
            <w:r w:rsidRPr="00310481">
              <w:rPr>
                <w:sz w:val="24"/>
                <w:szCs w:val="24"/>
              </w:rPr>
              <w:t>(8 hours)</w:t>
            </w:r>
          </w:p>
        </w:tc>
        <w:tc>
          <w:tcPr>
            <w:tcW w:w="2295" w:type="dxa"/>
          </w:tcPr>
          <w:p w:rsidR="00310481" w:rsidRPr="00310481" w:rsidRDefault="00310481" w:rsidP="00E60072">
            <w:pPr>
              <w:pStyle w:val="TableParagraph"/>
              <w:spacing w:line="270" w:lineRule="exact"/>
              <w:rPr>
                <w:sz w:val="24"/>
                <w:szCs w:val="24"/>
              </w:rPr>
            </w:pPr>
          </w:p>
          <w:p w:rsidR="00310481" w:rsidRPr="00310481" w:rsidRDefault="00310481" w:rsidP="00E60072">
            <w:pPr>
              <w:pStyle w:val="TableParagraph"/>
              <w:spacing w:line="270" w:lineRule="exact"/>
              <w:rPr>
                <w:sz w:val="24"/>
                <w:szCs w:val="24"/>
              </w:rPr>
            </w:pPr>
            <w:r w:rsidRPr="00310481">
              <w:rPr>
                <w:sz w:val="24"/>
                <w:szCs w:val="24"/>
              </w:rPr>
              <w:t>$1000</w:t>
            </w:r>
          </w:p>
        </w:tc>
      </w:tr>
      <w:tr w:rsidR="00310481" w:rsidRPr="00310481" w:rsidTr="00310481">
        <w:trPr>
          <w:trHeight w:val="580"/>
        </w:trPr>
        <w:tc>
          <w:tcPr>
            <w:tcW w:w="2345" w:type="dxa"/>
          </w:tcPr>
          <w:p w:rsidR="00310481" w:rsidRPr="00310481" w:rsidRDefault="00310481" w:rsidP="00E60072">
            <w:pPr>
              <w:pStyle w:val="TableParagraph"/>
              <w:spacing w:line="256" w:lineRule="exact"/>
              <w:ind w:left="102"/>
              <w:rPr>
                <w:sz w:val="24"/>
                <w:szCs w:val="24"/>
              </w:rPr>
            </w:pPr>
            <w:r w:rsidRPr="00310481">
              <w:rPr>
                <w:sz w:val="24"/>
                <w:szCs w:val="24"/>
              </w:rPr>
              <w:t>Total</w:t>
            </w:r>
            <w:bookmarkStart w:id="0" w:name="_GoBack"/>
            <w:bookmarkEnd w:id="0"/>
            <w:r w:rsidRPr="00310481">
              <w:rPr>
                <w:sz w:val="24"/>
                <w:szCs w:val="24"/>
              </w:rPr>
              <w:t>s</w:t>
            </w:r>
          </w:p>
        </w:tc>
        <w:tc>
          <w:tcPr>
            <w:tcW w:w="2320" w:type="dxa"/>
          </w:tcPr>
          <w:p w:rsidR="00310481" w:rsidRPr="00310481" w:rsidRDefault="00310481" w:rsidP="00E60072">
            <w:pPr>
              <w:pStyle w:val="TableParagraph"/>
              <w:spacing w:line="256" w:lineRule="exact"/>
              <w:rPr>
                <w:sz w:val="24"/>
                <w:szCs w:val="24"/>
              </w:rPr>
            </w:pPr>
          </w:p>
          <w:p w:rsidR="00310481" w:rsidRPr="00310481" w:rsidRDefault="00310481" w:rsidP="00E60072">
            <w:pPr>
              <w:pStyle w:val="TableParagraph"/>
              <w:spacing w:line="256" w:lineRule="exact"/>
              <w:rPr>
                <w:sz w:val="24"/>
                <w:szCs w:val="24"/>
              </w:rPr>
            </w:pPr>
            <w:r w:rsidRPr="00310481">
              <w:rPr>
                <w:sz w:val="24"/>
                <w:szCs w:val="24"/>
              </w:rPr>
              <w:t>$2,750</w:t>
            </w:r>
          </w:p>
        </w:tc>
        <w:tc>
          <w:tcPr>
            <w:tcW w:w="2392" w:type="dxa"/>
          </w:tcPr>
          <w:p w:rsidR="00310481" w:rsidRPr="00310481" w:rsidRDefault="00310481" w:rsidP="00E60072">
            <w:pPr>
              <w:pStyle w:val="TableParagraph"/>
              <w:spacing w:line="240" w:lineRule="auto"/>
              <w:ind w:left="0"/>
              <w:rPr>
                <w:sz w:val="24"/>
                <w:szCs w:val="24"/>
              </w:rPr>
            </w:pPr>
          </w:p>
        </w:tc>
        <w:tc>
          <w:tcPr>
            <w:tcW w:w="2295" w:type="dxa"/>
          </w:tcPr>
          <w:p w:rsidR="00310481" w:rsidRPr="00310481" w:rsidRDefault="00310481" w:rsidP="00E60072">
            <w:pPr>
              <w:pStyle w:val="TableParagraph"/>
              <w:spacing w:line="256" w:lineRule="exact"/>
              <w:rPr>
                <w:sz w:val="24"/>
                <w:szCs w:val="24"/>
              </w:rPr>
            </w:pPr>
          </w:p>
          <w:p w:rsidR="00310481" w:rsidRPr="00310481" w:rsidRDefault="00310481" w:rsidP="00E60072">
            <w:pPr>
              <w:pStyle w:val="TableParagraph"/>
              <w:spacing w:line="256" w:lineRule="exact"/>
              <w:rPr>
                <w:sz w:val="24"/>
                <w:szCs w:val="24"/>
              </w:rPr>
            </w:pPr>
            <w:r w:rsidRPr="00310481">
              <w:rPr>
                <w:sz w:val="24"/>
                <w:szCs w:val="24"/>
              </w:rPr>
              <w:t>$6,700</w:t>
            </w:r>
          </w:p>
        </w:tc>
      </w:tr>
    </w:tbl>
    <w:p w:rsidR="00C13F22" w:rsidRDefault="00C13F22" w:rsidP="00310481"/>
    <w:sectPr w:rsidR="00C1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1"/>
    <w:rsid w:val="00310481"/>
    <w:rsid w:val="00C1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53D38-FB69-4F7C-ADAB-9383795B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048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0481"/>
    <w:rPr>
      <w:sz w:val="24"/>
      <w:szCs w:val="24"/>
    </w:rPr>
  </w:style>
  <w:style w:type="character" w:customStyle="1" w:styleId="BodyTextChar">
    <w:name w:val="Body Text Char"/>
    <w:basedOn w:val="DefaultParagraphFont"/>
    <w:link w:val="BodyText"/>
    <w:uiPriority w:val="1"/>
    <w:rsid w:val="0031048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481"/>
    <w:pPr>
      <w:spacing w:line="268"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Swift</dc:creator>
  <cp:keywords/>
  <dc:description/>
  <cp:lastModifiedBy>Rebecca Swift</cp:lastModifiedBy>
  <cp:revision>1</cp:revision>
  <dcterms:created xsi:type="dcterms:W3CDTF">2022-08-05T13:06:00Z</dcterms:created>
  <dcterms:modified xsi:type="dcterms:W3CDTF">2022-08-05T13:09:00Z</dcterms:modified>
</cp:coreProperties>
</file>